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i w:val="1"/>
          <w:color w:val="464037"/>
          <w:sz w:val="26"/>
          <w:szCs w:val="26"/>
          <w:highlight w:val="white"/>
          <w:rtl w:val="0"/>
        </w:rPr>
        <w:t xml:space="preserve">Dit document bevat bepaalde toekomstgerichte uitspraken met betrekking tot de huidige verwachtingen van de Onderneming ten aanzien van toekomstige groei, financiële vooruitzichten, bedrijfsstrategie en prestatieverwachtingen voor 2018 en driejarige prestatiedoelstellingen, een programma voor de terugkoop van eigen aandelen, en verklaringen met betrekking tot kostenbeheersing, nieuwe bedrijfsopportuniteiten, financiële prestaties, marktvraag en andere aspecten van de Onderneming. Deze verklaringen zijn gebaseerd op de verwachtingen en aannames van de Onderneming, industrieverslagen, de huidige bedrijfsomstandigheden in sectoren waarin de Onderneming actief is, feedback van bestaande en potentiële nieuwe klanten, een rapport van de huidige en voorgestelde wetgeving en overheidsvoorschriften die van invloed kunnen zijn op de Onderneming en/of haar klanten, en andere toekomstige ontwikkelingen of omstandigheden. De feitelijke resultaten kunnen aanzienlijk verschillen van de vooruitzichten, verwachtingen en andere toekomstgerichte verklaringen ten gevolge van een aantal factoren, waaronder de toegang van  het bedrijf tot gekwalificeerd personeel, binnenlandse en buitenlandse concurrentie op het gebied van cliënteel en talent, de toegenomen onderhandelingspositie van grote klanten en het vermogen van de Onderneming om vertrouwelijke klantgegevens te beschermen, het gedeeltelijk of volledig wegvallen van de inkomsten die de onderneming genereert uit de International Business Machines Corporation (IBM) en/of de SDI International (SDI), het vermogen om de Tech-IT- en Soft Company-bedrijven te integreren en hun klanten te behouden, de onzekerheid betreffende de uitvoering door klanten van kostenreductieprojecten, het effect van de hervorming van de gezondheidszorg en initiatieven, de overlap van personeel en oplossingen, wisselkoersrisico's, risico's verbonden aan het werken in buitenlandse rechtsgebieden, heronderhandelingen, vernietiging of verbreking van contracten met klanten, verkopers, onderaannemers of andere partijen, herwaardering van gekapitaliseerde softwarebalansen, de impact van de huidige en toekomstige wetten en overheidsregulering, alsook de intrekking of wijziging daarvan, die een invloed heeft op de informatietechnologie (IT) - oplossingen en de personeelssector, belastingen en de activiteiten van de Onderneming in het bijzonder, industrie en economische omstandigheden, waaronder de fluctuerende vraag naar IT-diensten, consolidatie tussen de concurrenten of klanten van de Onderneming, de noodzaak om onze IT-diensten te complementeren of te wijzigen naar aanleiding van nieuwe aanbiedingen in de sector of wijzigingen in de vereisten van klanten met betrekking tot IT-producten en -oplossingen en andere factoren die risico's en onzekerheden met zich meebrengen, zoals onder meer de factoren vermeld in de rapporten van de Onderneming die op datum van dit document bij de Securities and Exchange Commission zijn ingediend. Zulke toekomstgerichte verklaringen moeten worden gelezen in samenhang met de verklaringen van de Onderneming zoals uiteengezet in het 10-K formulier van 2017, dat door middel van verwijzing opgenomen is, en andere rapporten die van tijd tot tijd kunnen worden ingediend bij de Securities and Exchange Commission. Het bedrijf neemt geen verplichting op zich om de toekomstgerichte informatie in deze versie bij te werken.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